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7C54" w:rsidRDefault="005E7C54" w:rsidP="0016399D">
      <w:pPr>
        <w:spacing w:before="100" w:beforeAutospacing="1" w:after="100" w:afterAutospacing="1" w:line="480" w:lineRule="auto"/>
        <w:jc w:val="center"/>
        <w:rPr>
          <w:rFonts w:ascii="Times New Roman" w:hAnsi="Times New Roman" w:cs="Times New Roman"/>
          <w:sz w:val="24"/>
          <w:szCs w:val="24"/>
        </w:rPr>
      </w:pPr>
      <w:r w:rsidRPr="001D01D4">
        <w:rPr>
          <w:rFonts w:ascii="Times New Roman" w:hAnsi="Times New Roman" w:cs="Times New Roman"/>
          <w:sz w:val="24"/>
          <w:szCs w:val="24"/>
        </w:rPr>
        <w:t>Global Retail Turnover</w:t>
      </w:r>
    </w:p>
    <w:p w:rsidR="006523C3" w:rsidRPr="001D01D4" w:rsidRDefault="006523C3" w:rsidP="006523C3">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U.S retail turnover</w:t>
      </w:r>
    </w:p>
    <w:p w:rsidR="00B067BA" w:rsidRPr="001D01D4" w:rsidRDefault="00006A01" w:rsidP="006523C3">
      <w:pPr>
        <w:spacing w:before="100" w:beforeAutospacing="1" w:after="100" w:afterAutospacing="1" w:line="480" w:lineRule="auto"/>
        <w:ind w:firstLine="720"/>
      </w:pPr>
      <w:r>
        <w:t xml:space="preserve"> The U.S Bureau of Statistics reported that the </w:t>
      </w:r>
      <w:r w:rsidR="00B067BA" w:rsidRPr="001D01D4">
        <w:t xml:space="preserve">US retail trade </w:t>
      </w:r>
      <w:r w:rsidR="006523C3">
        <w:t>dropped by 0.2 percent January</w:t>
      </w:r>
      <w:r w:rsidR="00B067BA" w:rsidRPr="001D01D4">
        <w:t xml:space="preserve"> earlier in Febru</w:t>
      </w:r>
      <w:r w:rsidR="006523C3">
        <w:t xml:space="preserve">ary 2019, following an increase </w:t>
      </w:r>
      <w:r w:rsidR="00B067BA" w:rsidRPr="001D01D4">
        <w:t>revised 0.7 perce</w:t>
      </w:r>
      <w:r w:rsidR="006523C3">
        <w:t>nt growth in January and missed market expectation of a 0.3 percent increase</w:t>
      </w:r>
      <w:r w:rsidR="00B067BA" w:rsidRPr="001D01D4">
        <w:t xml:space="preserve">. Sales fell for furniture, clothing, food and electronics and appliances, as well as building materials and gardening equipment. Retail Sales </w:t>
      </w:r>
      <w:proofErr w:type="spellStart"/>
      <w:r w:rsidR="00B067BA" w:rsidRPr="001D01D4">
        <w:t>MoM</w:t>
      </w:r>
      <w:proofErr w:type="spellEnd"/>
      <w:r w:rsidR="00B067BA" w:rsidRPr="001D01D4">
        <w:t xml:space="preserve"> in the United States averaged 0.35 percent from 1992 until 2019, reaching an </w:t>
      </w:r>
      <w:r w:rsidR="006523C3" w:rsidRPr="001D01D4">
        <w:t>all-time</w:t>
      </w:r>
      <w:r w:rsidR="00B067BA" w:rsidRPr="001D01D4">
        <w:t xml:space="preserve"> high of 6.70 percent in October of 2001 and a record low of -3.90 percent in November of 2008.</w:t>
      </w:r>
    </w:p>
    <w:p w:rsidR="00B067BA" w:rsidRPr="001D01D4" w:rsidRDefault="00006A01" w:rsidP="006523C3">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U.S Retail Turnover for January 2019.</w:t>
      </w:r>
    </w:p>
    <w:p w:rsidR="00006A01" w:rsidRDefault="0000653E" w:rsidP="00006A01">
      <w:pPr>
        <w:spacing w:before="100" w:beforeAutospacing="1" w:after="100" w:afterAutospacing="1" w:line="480" w:lineRule="auto"/>
        <w:ind w:left="720" w:firstLine="720"/>
        <w:rPr>
          <w:rFonts w:ascii="Times New Roman" w:hAnsi="Times New Roman" w:cs="Times New Roman"/>
          <w:color w:val="333333"/>
          <w:sz w:val="24"/>
          <w:szCs w:val="24"/>
        </w:rPr>
      </w:pPr>
      <w:r w:rsidRPr="001D01D4">
        <w:rPr>
          <w:rFonts w:ascii="Times New Roman" w:hAnsi="Times New Roman" w:cs="Times New Roman"/>
          <w:noProof/>
          <w:sz w:val="24"/>
          <w:szCs w:val="24"/>
        </w:rPr>
        <w:drawing>
          <wp:inline distT="0" distB="0" distL="0" distR="0" wp14:anchorId="1BE1A9B9" wp14:editId="4DBA0079">
            <wp:extent cx="2800350" cy="29622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800350" cy="2962275"/>
                    </a:xfrm>
                    <a:prstGeom prst="rect">
                      <a:avLst/>
                    </a:prstGeom>
                  </pic:spPr>
                </pic:pic>
              </a:graphicData>
            </a:graphic>
          </wp:inline>
        </w:drawing>
      </w:r>
    </w:p>
    <w:p w:rsidR="0016399D" w:rsidRDefault="00006A01" w:rsidP="00006A01">
      <w:pPr>
        <w:spacing w:before="100" w:beforeAutospacing="1" w:after="100" w:afterAutospacing="1" w:line="480" w:lineRule="auto"/>
        <w:ind w:left="720" w:firstLine="720"/>
        <w:rPr>
          <w:rFonts w:ascii="Times New Roman" w:hAnsi="Times New Roman" w:cs="Times New Roman"/>
          <w:color w:val="333333"/>
          <w:sz w:val="24"/>
          <w:szCs w:val="24"/>
        </w:rPr>
      </w:pPr>
      <w:r>
        <w:rPr>
          <w:rFonts w:ascii="Times New Roman" w:hAnsi="Times New Roman" w:cs="Times New Roman"/>
          <w:color w:val="333333"/>
          <w:sz w:val="24"/>
          <w:szCs w:val="24"/>
        </w:rPr>
        <w:t>Source: tradingeconomics.com</w:t>
      </w:r>
    </w:p>
    <w:p w:rsidR="0016399D" w:rsidRDefault="0016399D" w:rsidP="0016399D">
      <w:pPr>
        <w:spacing w:before="100" w:beforeAutospacing="1" w:after="100" w:afterAutospacing="1" w:line="480" w:lineRule="auto"/>
        <w:rPr>
          <w:rFonts w:ascii="Times New Roman" w:hAnsi="Times New Roman" w:cs="Times New Roman"/>
          <w:color w:val="333333"/>
          <w:sz w:val="24"/>
          <w:szCs w:val="24"/>
        </w:rPr>
      </w:pPr>
    </w:p>
    <w:p w:rsidR="0016399D" w:rsidRDefault="001D01D4" w:rsidP="0016399D">
      <w:pPr>
        <w:spacing w:before="100" w:beforeAutospacing="1" w:after="100" w:afterAutospacing="1" w:line="480" w:lineRule="auto"/>
        <w:ind w:firstLine="720"/>
        <w:rPr>
          <w:rFonts w:ascii="Times New Roman" w:hAnsi="Times New Roman" w:cs="Times New Roman"/>
          <w:color w:val="333333"/>
          <w:sz w:val="24"/>
          <w:szCs w:val="24"/>
        </w:rPr>
      </w:pPr>
      <w:r w:rsidRPr="001D01D4">
        <w:rPr>
          <w:rFonts w:ascii="Times New Roman" w:hAnsi="Times New Roman" w:cs="Times New Roman"/>
          <w:color w:val="333333"/>
          <w:sz w:val="24"/>
          <w:szCs w:val="24"/>
          <w:shd w:val="clear" w:color="auto" w:fill="FFFFFF"/>
        </w:rPr>
        <w:lastRenderedPageBreak/>
        <w:t>Sales at building material stores slumped 4.4 percent, the biggest drop since April 2012, reversing a 4.4 percent increase in the previous month. In addition, receipts at clothing stores declined 0.4 percent and those at furniture &amp; home furniture stores dropped 0.5 percent (v</w:t>
      </w:r>
      <w:r w:rsidR="00006A01">
        <w:rPr>
          <w:rFonts w:ascii="Times New Roman" w:hAnsi="Times New Roman" w:cs="Times New Roman"/>
          <w:color w:val="333333"/>
          <w:sz w:val="24"/>
          <w:szCs w:val="24"/>
          <w:shd w:val="clear" w:color="auto" w:fill="FFFFFF"/>
        </w:rPr>
        <w:t>ersus</w:t>
      </w:r>
      <w:r w:rsidRPr="001D01D4">
        <w:rPr>
          <w:rFonts w:ascii="Times New Roman" w:hAnsi="Times New Roman" w:cs="Times New Roman"/>
          <w:color w:val="333333"/>
          <w:sz w:val="24"/>
          <w:szCs w:val="24"/>
          <w:shd w:val="clear" w:color="auto" w:fill="FFFFFF"/>
        </w:rPr>
        <w:t>-0.3 percent in January). Sales at food and beverage stores fell the most since February 2009 (-1.2 percent v</w:t>
      </w:r>
      <w:r w:rsidR="00006A01">
        <w:rPr>
          <w:rFonts w:ascii="Times New Roman" w:hAnsi="Times New Roman" w:cs="Times New Roman"/>
          <w:color w:val="333333"/>
          <w:sz w:val="24"/>
          <w:szCs w:val="24"/>
          <w:shd w:val="clear" w:color="auto" w:fill="FFFFFF"/>
        </w:rPr>
        <w:t>ersu</w:t>
      </w:r>
      <w:r w:rsidRPr="001D01D4">
        <w:rPr>
          <w:rFonts w:ascii="Times New Roman" w:hAnsi="Times New Roman" w:cs="Times New Roman"/>
          <w:color w:val="333333"/>
          <w:sz w:val="24"/>
          <w:szCs w:val="24"/>
          <w:shd w:val="clear" w:color="auto" w:fill="FFFFFF"/>
        </w:rPr>
        <w:t>s 1.4 percent) and those at electronics and appliances stores posted the largest decline since May 2017 (-1.3 percent v</w:t>
      </w:r>
      <w:r w:rsidR="00006A01">
        <w:rPr>
          <w:rFonts w:ascii="Times New Roman" w:hAnsi="Times New Roman" w:cs="Times New Roman"/>
          <w:color w:val="333333"/>
          <w:sz w:val="24"/>
          <w:szCs w:val="24"/>
          <w:shd w:val="clear" w:color="auto" w:fill="FFFFFF"/>
        </w:rPr>
        <w:t>ersu</w:t>
      </w:r>
      <w:r w:rsidRPr="001D01D4">
        <w:rPr>
          <w:rFonts w:ascii="Times New Roman" w:hAnsi="Times New Roman" w:cs="Times New Roman"/>
          <w:color w:val="333333"/>
          <w:sz w:val="24"/>
          <w:szCs w:val="24"/>
          <w:shd w:val="clear" w:color="auto" w:fill="FFFFFF"/>
        </w:rPr>
        <w:t>s 0.6 percent). Sales also dropped at general merchandise stores (-0.3 percent v</w:t>
      </w:r>
      <w:r w:rsidR="00006A01">
        <w:rPr>
          <w:rFonts w:ascii="Times New Roman" w:hAnsi="Times New Roman" w:cs="Times New Roman"/>
          <w:color w:val="333333"/>
          <w:sz w:val="24"/>
          <w:szCs w:val="24"/>
          <w:shd w:val="clear" w:color="auto" w:fill="FFFFFF"/>
        </w:rPr>
        <w:t>ersu</w:t>
      </w:r>
      <w:r w:rsidRPr="001D01D4">
        <w:rPr>
          <w:rFonts w:ascii="Times New Roman" w:hAnsi="Times New Roman" w:cs="Times New Roman"/>
          <w:color w:val="333333"/>
          <w:sz w:val="24"/>
          <w:szCs w:val="24"/>
          <w:shd w:val="clear" w:color="auto" w:fill="FFFFFF"/>
        </w:rPr>
        <w:t>s 0.5 percent) and at miscellaneous store retailers (-1.6 percent v</w:t>
      </w:r>
      <w:r w:rsidR="00006A01">
        <w:rPr>
          <w:rFonts w:ascii="Times New Roman" w:hAnsi="Times New Roman" w:cs="Times New Roman"/>
          <w:color w:val="333333"/>
          <w:sz w:val="24"/>
          <w:szCs w:val="24"/>
          <w:shd w:val="clear" w:color="auto" w:fill="FFFFFF"/>
        </w:rPr>
        <w:t>ersu</w:t>
      </w:r>
      <w:r w:rsidRPr="001D01D4">
        <w:rPr>
          <w:rFonts w:ascii="Times New Roman" w:hAnsi="Times New Roman" w:cs="Times New Roman"/>
          <w:color w:val="333333"/>
          <w:sz w:val="24"/>
          <w:szCs w:val="24"/>
          <w:shd w:val="clear" w:color="auto" w:fill="FFFFFF"/>
        </w:rPr>
        <w:t>s unchanged).</w:t>
      </w:r>
    </w:p>
    <w:p w:rsidR="00764D5A" w:rsidRPr="001D01D4" w:rsidRDefault="00764D5A" w:rsidP="006523C3">
      <w:pPr>
        <w:spacing w:before="100" w:beforeAutospacing="1" w:after="100" w:afterAutospacing="1" w:line="480" w:lineRule="auto"/>
        <w:rPr>
          <w:rFonts w:ascii="Times New Roman" w:hAnsi="Times New Roman" w:cs="Times New Roman"/>
          <w:sz w:val="24"/>
          <w:szCs w:val="24"/>
        </w:rPr>
      </w:pPr>
      <w:r w:rsidRPr="001D01D4">
        <w:rPr>
          <w:rFonts w:ascii="Times New Roman" w:hAnsi="Times New Roman" w:cs="Times New Roman"/>
          <w:noProof/>
          <w:sz w:val="24"/>
          <w:szCs w:val="24"/>
        </w:rPr>
        <w:drawing>
          <wp:inline distT="0" distB="0" distL="0" distR="0" wp14:anchorId="3DEC10B6" wp14:editId="6BB200C4">
            <wp:extent cx="5943600" cy="1732915"/>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1732915"/>
                    </a:xfrm>
                    <a:prstGeom prst="rect">
                      <a:avLst/>
                    </a:prstGeom>
                  </pic:spPr>
                </pic:pic>
              </a:graphicData>
            </a:graphic>
          </wp:inline>
        </w:drawing>
      </w:r>
    </w:p>
    <w:p w:rsidR="005E7C54" w:rsidRPr="001D01D4" w:rsidRDefault="005E7C54" w:rsidP="006523C3">
      <w:pPr>
        <w:spacing w:before="100" w:beforeAutospacing="1" w:after="100" w:afterAutospacing="1" w:line="480" w:lineRule="auto"/>
        <w:rPr>
          <w:rFonts w:ascii="Times New Roman" w:hAnsi="Times New Roman" w:cs="Times New Roman"/>
          <w:sz w:val="24"/>
          <w:szCs w:val="24"/>
        </w:rPr>
      </w:pPr>
      <w:r w:rsidRPr="001D01D4">
        <w:rPr>
          <w:rFonts w:ascii="Times New Roman" w:hAnsi="Times New Roman" w:cs="Times New Roman"/>
          <w:sz w:val="24"/>
          <w:szCs w:val="24"/>
        </w:rPr>
        <w:t>Australian</w:t>
      </w:r>
      <w:r w:rsidRPr="001D01D4">
        <w:rPr>
          <w:rFonts w:ascii="Times New Roman" w:hAnsi="Times New Roman" w:cs="Times New Roman"/>
          <w:sz w:val="24"/>
          <w:szCs w:val="24"/>
        </w:rPr>
        <w:t xml:space="preserve"> retail</w:t>
      </w:r>
      <w:r w:rsidRPr="001D01D4">
        <w:rPr>
          <w:rFonts w:ascii="Times New Roman" w:hAnsi="Times New Roman" w:cs="Times New Roman"/>
          <w:sz w:val="24"/>
          <w:szCs w:val="24"/>
        </w:rPr>
        <w:t xml:space="preserve"> turnover</w:t>
      </w:r>
      <w:r w:rsidRPr="001D01D4">
        <w:rPr>
          <w:rFonts w:ascii="Times New Roman" w:hAnsi="Times New Roman" w:cs="Times New Roman"/>
          <w:sz w:val="24"/>
          <w:szCs w:val="24"/>
        </w:rPr>
        <w:t xml:space="preserve"> 2019</w:t>
      </w:r>
    </w:p>
    <w:p w:rsidR="00094100" w:rsidRPr="001D01D4" w:rsidRDefault="00BB3615" w:rsidP="006523C3">
      <w:pPr>
        <w:spacing w:before="100" w:beforeAutospacing="1" w:after="100" w:afterAutospacing="1" w:line="480" w:lineRule="auto"/>
        <w:rPr>
          <w:rFonts w:ascii="Times New Roman" w:hAnsi="Times New Roman" w:cs="Times New Roman"/>
          <w:sz w:val="24"/>
          <w:szCs w:val="24"/>
        </w:rPr>
      </w:pPr>
      <w:r w:rsidRPr="001D01D4">
        <w:rPr>
          <w:rFonts w:ascii="Times New Roman" w:hAnsi="Times New Roman" w:cs="Times New Roman"/>
          <w:noProof/>
          <w:sz w:val="24"/>
          <w:szCs w:val="24"/>
        </w:rPr>
        <w:drawing>
          <wp:inline distT="0" distB="0" distL="0" distR="0" wp14:anchorId="1672D0E8" wp14:editId="665E4CC4">
            <wp:extent cx="2914650" cy="22383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914650" cy="2238375"/>
                    </a:xfrm>
                    <a:prstGeom prst="rect">
                      <a:avLst/>
                    </a:prstGeom>
                  </pic:spPr>
                </pic:pic>
              </a:graphicData>
            </a:graphic>
          </wp:inline>
        </w:drawing>
      </w:r>
      <w:r w:rsidR="00094100" w:rsidRPr="001D01D4">
        <w:rPr>
          <w:rFonts w:ascii="Times New Roman" w:hAnsi="Times New Roman" w:cs="Times New Roman"/>
          <w:sz w:val="24"/>
          <w:szCs w:val="24"/>
        </w:rPr>
        <w:t xml:space="preserve">Source: </w:t>
      </w:r>
      <w:r w:rsidR="00162BDF" w:rsidRPr="001D01D4">
        <w:rPr>
          <w:rFonts w:ascii="Times New Roman" w:hAnsi="Times New Roman" w:cs="Times New Roman"/>
          <w:sz w:val="24"/>
          <w:szCs w:val="24"/>
        </w:rPr>
        <w:t>Bureau of S</w:t>
      </w:r>
      <w:r w:rsidR="00094100" w:rsidRPr="001D01D4">
        <w:rPr>
          <w:rFonts w:ascii="Times New Roman" w:hAnsi="Times New Roman" w:cs="Times New Roman"/>
          <w:sz w:val="24"/>
          <w:szCs w:val="24"/>
        </w:rPr>
        <w:t xml:space="preserve">tatistics </w:t>
      </w:r>
      <w:r w:rsidR="00162BDF" w:rsidRPr="001D01D4">
        <w:rPr>
          <w:rFonts w:ascii="Times New Roman" w:hAnsi="Times New Roman" w:cs="Times New Roman"/>
          <w:sz w:val="24"/>
          <w:szCs w:val="24"/>
        </w:rPr>
        <w:t>of Australia</w:t>
      </w:r>
    </w:p>
    <w:p w:rsidR="005E7C54" w:rsidRDefault="005E7C54" w:rsidP="0016399D">
      <w:pPr>
        <w:spacing w:before="100" w:beforeAutospacing="1" w:after="100" w:afterAutospacing="1" w:line="480" w:lineRule="auto"/>
        <w:ind w:firstLine="720"/>
        <w:rPr>
          <w:rFonts w:ascii="Times New Roman" w:hAnsi="Times New Roman" w:cs="Times New Roman"/>
          <w:sz w:val="24"/>
          <w:szCs w:val="24"/>
        </w:rPr>
      </w:pPr>
      <w:r w:rsidRPr="001D01D4">
        <w:rPr>
          <w:rFonts w:ascii="Times New Roman" w:hAnsi="Times New Roman" w:cs="Times New Roman"/>
          <w:sz w:val="24"/>
          <w:szCs w:val="24"/>
        </w:rPr>
        <w:lastRenderedPageBreak/>
        <w:t>The trend estimate rose 0.2% in February 2019. This follows a rise of 0.2% in January 2019, and a rise of 0.2% in December 2018.The seasonally adjusted estimate rose 0.8% in February 2019. This follows a rise of 0.1% in January 2019, and a fall of 0.4% in December 2018.In trend terms, Australian turnover rose 2.9% in February 20</w:t>
      </w:r>
      <w:r w:rsidR="0016399D">
        <w:rPr>
          <w:rFonts w:ascii="Times New Roman" w:hAnsi="Times New Roman" w:cs="Times New Roman"/>
          <w:sz w:val="24"/>
          <w:szCs w:val="24"/>
        </w:rPr>
        <w:t>19 compared with February 2018.</w:t>
      </w:r>
      <w:r w:rsidRPr="001D01D4">
        <w:rPr>
          <w:rFonts w:ascii="Times New Roman" w:hAnsi="Times New Roman" w:cs="Times New Roman"/>
          <w:sz w:val="24"/>
          <w:szCs w:val="24"/>
        </w:rPr>
        <w:t>The following industries rose in trend terms in February 2019: Food retailing (0.4%), Cafes, restaurants and takeaway food services (0.2%), and Other retailing (0.1%). Clothing, footwear and personal accessory retailing (0.0%) was relatively unchanged. Household goods retailing (-0.2%), and Department stores (-0.2%) fell i</w:t>
      </w:r>
      <w:r w:rsidR="0016399D">
        <w:rPr>
          <w:rFonts w:ascii="Times New Roman" w:hAnsi="Times New Roman" w:cs="Times New Roman"/>
          <w:sz w:val="24"/>
          <w:szCs w:val="24"/>
        </w:rPr>
        <w:t>n trend terms in February 2019.</w:t>
      </w:r>
      <w:r w:rsidRPr="001D01D4">
        <w:rPr>
          <w:rFonts w:ascii="Times New Roman" w:hAnsi="Times New Roman" w:cs="Times New Roman"/>
          <w:sz w:val="24"/>
          <w:szCs w:val="24"/>
        </w:rPr>
        <w:t>The following states and territories rose in trend terms in February 2019: New South Wales (0.2%), Queensland (0.3%), Victoria (0.2%), Western Australia (0.3%), and the Australian Capital Territory (0.1%). South Australia (0.0%) was relatively unchanged. Tasmania (-0.2%), and the Northern Territory (-0.2%) fell in trend terms in February 2019.</w:t>
      </w:r>
    </w:p>
    <w:p w:rsidR="00AC6046" w:rsidRPr="001D01D4" w:rsidRDefault="00AC6046" w:rsidP="00AC6046">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China’s Retail Turnover 2019.</w:t>
      </w:r>
    </w:p>
    <w:p w:rsidR="00D93942" w:rsidRPr="001D01D4" w:rsidRDefault="00D93942" w:rsidP="0016399D">
      <w:pPr>
        <w:spacing w:before="100" w:beforeAutospacing="1" w:after="100" w:afterAutospacing="1" w:line="480" w:lineRule="auto"/>
        <w:rPr>
          <w:rFonts w:ascii="Times New Roman" w:hAnsi="Times New Roman" w:cs="Times New Roman"/>
          <w:sz w:val="24"/>
          <w:szCs w:val="24"/>
        </w:rPr>
      </w:pPr>
      <w:r w:rsidRPr="001D01D4">
        <w:rPr>
          <w:rFonts w:ascii="Times New Roman" w:hAnsi="Times New Roman" w:cs="Times New Roman"/>
          <w:noProof/>
          <w:sz w:val="24"/>
          <w:szCs w:val="24"/>
        </w:rPr>
        <w:drawing>
          <wp:inline distT="0" distB="0" distL="0" distR="0" wp14:anchorId="74199680" wp14:editId="53FDE556">
            <wp:extent cx="5943600" cy="25984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2598420"/>
                    </a:xfrm>
                    <a:prstGeom prst="rect">
                      <a:avLst/>
                    </a:prstGeom>
                  </pic:spPr>
                </pic:pic>
              </a:graphicData>
            </a:graphic>
          </wp:inline>
        </w:drawing>
      </w:r>
      <w:r w:rsidR="0016399D">
        <w:rPr>
          <w:rFonts w:ascii="Times New Roman" w:hAnsi="Times New Roman" w:cs="Times New Roman"/>
          <w:sz w:val="24"/>
          <w:szCs w:val="24"/>
        </w:rPr>
        <w:t xml:space="preserve">        Source:</w:t>
      </w:r>
      <w:r w:rsidR="00094100" w:rsidRPr="001D01D4">
        <w:rPr>
          <w:rFonts w:ascii="Times New Roman" w:hAnsi="Times New Roman" w:cs="Times New Roman"/>
          <w:sz w:val="24"/>
          <w:szCs w:val="24"/>
        </w:rPr>
        <w:t xml:space="preserve"> BEUREA OF STATISTICS OF CHINA</w:t>
      </w:r>
    </w:p>
    <w:p w:rsidR="00D93942" w:rsidRPr="001D01D4" w:rsidRDefault="00006A01" w:rsidP="006523C3">
      <w:pPr>
        <w:shd w:val="clear" w:color="auto" w:fill="FFFFFF"/>
        <w:spacing w:before="100" w:beforeAutospacing="1" w:after="100" w:afterAutospacing="1"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 According to the China Bureau of Statistics, </w:t>
      </w:r>
      <w:r w:rsidR="00D93942" w:rsidRPr="00D93942">
        <w:rPr>
          <w:rFonts w:ascii="Times New Roman" w:eastAsia="Times New Roman" w:hAnsi="Times New Roman" w:cs="Times New Roman"/>
          <w:color w:val="000000"/>
          <w:sz w:val="24"/>
          <w:szCs w:val="24"/>
        </w:rPr>
        <w:t xml:space="preserve">China's retail sales rose 8.2 percent from a year earlier in January-February 2019, the same as in the preceding period and slightly beating market consensus of 8.1 percent. A slowdown in sales of garments (personal </w:t>
      </w:r>
      <w:r w:rsidR="008A56E1">
        <w:rPr>
          <w:rFonts w:ascii="Times New Roman" w:eastAsia="Times New Roman" w:hAnsi="Times New Roman" w:cs="Times New Roman"/>
          <w:color w:val="000000"/>
          <w:sz w:val="24"/>
          <w:szCs w:val="24"/>
        </w:rPr>
        <w:t>care (15.9 percent</w:t>
      </w:r>
      <w:r w:rsidR="00D93942" w:rsidRPr="00D93942">
        <w:rPr>
          <w:rFonts w:ascii="Times New Roman" w:eastAsia="Times New Roman" w:hAnsi="Times New Roman" w:cs="Times New Roman"/>
          <w:color w:val="000000"/>
          <w:sz w:val="24"/>
          <w:szCs w:val="24"/>
        </w:rPr>
        <w:t>), home appliances</w:t>
      </w:r>
      <w:r w:rsidR="008A56E1">
        <w:rPr>
          <w:rFonts w:ascii="Times New Roman" w:eastAsia="Times New Roman" w:hAnsi="Times New Roman" w:cs="Times New Roman"/>
          <w:color w:val="000000"/>
          <w:sz w:val="24"/>
          <w:szCs w:val="24"/>
        </w:rPr>
        <w:t xml:space="preserve">, furniture, </w:t>
      </w:r>
      <w:r w:rsidR="00D93942" w:rsidRPr="00D93942">
        <w:rPr>
          <w:rFonts w:ascii="Times New Roman" w:eastAsia="Times New Roman" w:hAnsi="Times New Roman" w:cs="Times New Roman"/>
          <w:color w:val="000000"/>
          <w:sz w:val="24"/>
          <w:szCs w:val="24"/>
        </w:rPr>
        <w:t>0.7 percent, oil, oil products (2.5 percent</w:t>
      </w:r>
      <w:r w:rsidR="008A56E1">
        <w:rPr>
          <w:rFonts w:ascii="Times New Roman" w:eastAsia="Times New Roman" w:hAnsi="Times New Roman" w:cs="Times New Roman"/>
          <w:color w:val="000000"/>
          <w:sz w:val="24"/>
          <w:szCs w:val="24"/>
        </w:rPr>
        <w:t>)</w:t>
      </w:r>
      <w:r w:rsidR="00D93942" w:rsidRPr="00D93942">
        <w:rPr>
          <w:rFonts w:ascii="Times New Roman" w:eastAsia="Times New Roman" w:hAnsi="Times New Roman" w:cs="Times New Roman"/>
          <w:color w:val="000000"/>
          <w:sz w:val="24"/>
          <w:szCs w:val="24"/>
        </w:rPr>
        <w:t xml:space="preserve"> and building materials (6.6 percent); was offset by a </w:t>
      </w:r>
      <w:r w:rsidR="008A56E1" w:rsidRPr="00D93942">
        <w:rPr>
          <w:rFonts w:ascii="Times New Roman" w:eastAsia="Times New Roman" w:hAnsi="Times New Roman" w:cs="Times New Roman"/>
          <w:color w:val="000000"/>
          <w:sz w:val="24"/>
          <w:szCs w:val="24"/>
        </w:rPr>
        <w:t>pick-up</w:t>
      </w:r>
      <w:r w:rsidR="00D93942" w:rsidRPr="00D93942">
        <w:rPr>
          <w:rFonts w:ascii="Times New Roman" w:eastAsia="Times New Roman" w:hAnsi="Times New Roman" w:cs="Times New Roman"/>
          <w:color w:val="000000"/>
          <w:sz w:val="24"/>
          <w:szCs w:val="24"/>
        </w:rPr>
        <w:t xml:space="preserve"> in sales of office supplies (8.8 percent</w:t>
      </w:r>
      <w:r w:rsidR="008A56E1">
        <w:rPr>
          <w:rFonts w:ascii="Times New Roman" w:eastAsia="Times New Roman" w:hAnsi="Times New Roman" w:cs="Times New Roman"/>
          <w:color w:val="000000"/>
          <w:sz w:val="24"/>
          <w:szCs w:val="24"/>
        </w:rPr>
        <w:t>)</w:t>
      </w:r>
      <w:r w:rsidR="00D93942" w:rsidRPr="00D93942">
        <w:rPr>
          <w:rFonts w:ascii="Times New Roman" w:eastAsia="Times New Roman" w:hAnsi="Times New Roman" w:cs="Times New Roman"/>
          <w:color w:val="000000"/>
          <w:sz w:val="24"/>
          <w:szCs w:val="24"/>
        </w:rPr>
        <w:t>, telecoms (8.2 percent), cosmetics (8.9 percent) and jewelry (4.4 percent). On the other hand, sales of automobiles continued to fall (-2.8 per</w:t>
      </w:r>
      <w:r w:rsidR="008A56E1">
        <w:rPr>
          <w:rFonts w:ascii="Times New Roman" w:eastAsia="Times New Roman" w:hAnsi="Times New Roman" w:cs="Times New Roman"/>
          <w:color w:val="000000"/>
          <w:sz w:val="24"/>
          <w:szCs w:val="24"/>
        </w:rPr>
        <w:t xml:space="preserve">cent). Retail Sales </w:t>
      </w:r>
      <w:proofErr w:type="spellStart"/>
      <w:r w:rsidR="008A56E1">
        <w:rPr>
          <w:rFonts w:ascii="Times New Roman" w:eastAsia="Times New Roman" w:hAnsi="Times New Roman" w:cs="Times New Roman"/>
          <w:color w:val="000000"/>
          <w:sz w:val="24"/>
          <w:szCs w:val="24"/>
        </w:rPr>
        <w:t>y.o</w:t>
      </w:r>
      <w:bookmarkStart w:id="0" w:name="_GoBack"/>
      <w:bookmarkEnd w:id="0"/>
      <w:r w:rsidR="008A56E1">
        <w:rPr>
          <w:rFonts w:ascii="Times New Roman" w:eastAsia="Times New Roman" w:hAnsi="Times New Roman" w:cs="Times New Roman"/>
          <w:color w:val="000000"/>
          <w:sz w:val="24"/>
          <w:szCs w:val="24"/>
        </w:rPr>
        <w:t>.y</w:t>
      </w:r>
      <w:proofErr w:type="spellEnd"/>
      <w:r w:rsidR="00D93942" w:rsidRPr="00D93942">
        <w:rPr>
          <w:rFonts w:ascii="Times New Roman" w:eastAsia="Times New Roman" w:hAnsi="Times New Roman" w:cs="Times New Roman"/>
          <w:color w:val="000000"/>
          <w:sz w:val="24"/>
          <w:szCs w:val="24"/>
        </w:rPr>
        <w:t xml:space="preserve"> in China averaged 13.90 percent from 1993 until 2019, reaching an </w:t>
      </w:r>
      <w:r w:rsidR="008A56E1" w:rsidRPr="00D93942">
        <w:rPr>
          <w:rFonts w:ascii="Times New Roman" w:eastAsia="Times New Roman" w:hAnsi="Times New Roman" w:cs="Times New Roman"/>
          <w:color w:val="000000"/>
          <w:sz w:val="24"/>
          <w:szCs w:val="24"/>
        </w:rPr>
        <w:t>all-time</w:t>
      </w:r>
      <w:r w:rsidR="00D93942" w:rsidRPr="00D93942">
        <w:rPr>
          <w:rFonts w:ascii="Times New Roman" w:eastAsia="Times New Roman" w:hAnsi="Times New Roman" w:cs="Times New Roman"/>
          <w:color w:val="000000"/>
          <w:sz w:val="24"/>
          <w:szCs w:val="24"/>
        </w:rPr>
        <w:t xml:space="preserve"> high of 37.40 percent in December of 1993 and a record low of 4.30 percent in May of 2003.</w:t>
      </w:r>
    </w:p>
    <w:p w:rsidR="005304BE" w:rsidRPr="00D93942" w:rsidRDefault="005304BE" w:rsidP="006523C3">
      <w:pPr>
        <w:shd w:val="clear" w:color="auto" w:fill="FFFFFF"/>
        <w:spacing w:before="100" w:beforeAutospacing="1" w:after="100" w:afterAutospacing="1" w:line="480" w:lineRule="auto"/>
        <w:rPr>
          <w:rFonts w:ascii="Times New Roman" w:eastAsia="Times New Roman" w:hAnsi="Times New Roman" w:cs="Times New Roman"/>
          <w:color w:val="000000"/>
          <w:sz w:val="24"/>
          <w:szCs w:val="24"/>
        </w:rPr>
      </w:pPr>
      <w:r w:rsidRPr="001D01D4">
        <w:rPr>
          <w:rFonts w:ascii="Times New Roman" w:hAnsi="Times New Roman" w:cs="Times New Roman"/>
          <w:noProof/>
          <w:sz w:val="24"/>
          <w:szCs w:val="24"/>
        </w:rPr>
        <w:drawing>
          <wp:inline distT="0" distB="0" distL="0" distR="0" wp14:anchorId="4661A7A5" wp14:editId="30F3C243">
            <wp:extent cx="5943600" cy="24053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2405380"/>
                    </a:xfrm>
                    <a:prstGeom prst="rect">
                      <a:avLst/>
                    </a:prstGeom>
                  </pic:spPr>
                </pic:pic>
              </a:graphicData>
            </a:graphic>
          </wp:inline>
        </w:drawing>
      </w:r>
    </w:p>
    <w:p w:rsidR="00D93942" w:rsidRPr="001D01D4" w:rsidRDefault="006523C3" w:rsidP="006523C3">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Source: </w:t>
      </w:r>
      <w:r w:rsidR="00B115DB" w:rsidRPr="001D01D4">
        <w:rPr>
          <w:rFonts w:ascii="Times New Roman" w:hAnsi="Times New Roman" w:cs="Times New Roman"/>
          <w:sz w:val="24"/>
          <w:szCs w:val="24"/>
        </w:rPr>
        <w:t>TRADINGECONOMICS.COM: BEUREA OF STATISTICS OF CHINA</w:t>
      </w:r>
    </w:p>
    <w:p w:rsidR="00C61D58" w:rsidRPr="00C61D58" w:rsidRDefault="00B3734D" w:rsidP="00C61D58">
      <w:pPr>
        <w:pStyle w:val="ListParagraph"/>
        <w:numPr>
          <w:ilvl w:val="0"/>
          <w:numId w:val="2"/>
        </w:numPr>
        <w:spacing w:before="100" w:beforeAutospacing="1" w:after="100" w:afterAutospacing="1" w:line="480" w:lineRule="auto"/>
        <w:rPr>
          <w:rFonts w:ascii="Times New Roman" w:hAnsi="Times New Roman" w:cs="Times New Roman"/>
          <w:sz w:val="24"/>
          <w:szCs w:val="24"/>
        </w:rPr>
      </w:pPr>
      <w:r w:rsidRPr="00AC6046">
        <w:rPr>
          <w:rFonts w:ascii="Times New Roman" w:hAnsi="Times New Roman" w:cs="Times New Roman"/>
          <w:sz w:val="24"/>
          <w:szCs w:val="24"/>
        </w:rPr>
        <w:lastRenderedPageBreak/>
        <w:t>Ave</w:t>
      </w:r>
      <w:r w:rsidR="00C66F24" w:rsidRPr="00AC6046">
        <w:rPr>
          <w:rFonts w:ascii="Times New Roman" w:hAnsi="Times New Roman" w:cs="Times New Roman"/>
          <w:sz w:val="24"/>
          <w:szCs w:val="24"/>
        </w:rPr>
        <w:t>rage annual retail salesperson salary</w:t>
      </w:r>
      <w:r w:rsidR="00AC6046" w:rsidRPr="001D01D4">
        <w:rPr>
          <w:noProof/>
        </w:rPr>
        <w:drawing>
          <wp:inline distT="0" distB="0" distL="0" distR="0" wp14:anchorId="09E239BD" wp14:editId="46CDCC12">
            <wp:extent cx="3933825" cy="18954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933825" cy="1895475"/>
                    </a:xfrm>
                    <a:prstGeom prst="rect">
                      <a:avLst/>
                    </a:prstGeom>
                  </pic:spPr>
                </pic:pic>
              </a:graphicData>
            </a:graphic>
          </wp:inline>
        </w:drawing>
      </w:r>
    </w:p>
    <w:p w:rsidR="00B3734D" w:rsidRPr="001D01D4" w:rsidRDefault="00B3734D" w:rsidP="006523C3">
      <w:pPr>
        <w:spacing w:before="100" w:beforeAutospacing="1" w:after="100" w:afterAutospacing="1" w:line="480" w:lineRule="auto"/>
        <w:rPr>
          <w:rFonts w:ascii="Times New Roman" w:hAnsi="Times New Roman" w:cs="Times New Roman"/>
          <w:sz w:val="24"/>
          <w:szCs w:val="24"/>
        </w:rPr>
      </w:pPr>
    </w:p>
    <w:p w:rsidR="006523C3" w:rsidRDefault="00DA108B" w:rsidP="00AC6046">
      <w:pPr>
        <w:spacing w:before="100" w:beforeAutospacing="1" w:after="100" w:afterAutospacing="1" w:line="480" w:lineRule="auto"/>
        <w:ind w:firstLine="720"/>
        <w:rPr>
          <w:rFonts w:ascii="Times New Roman" w:hAnsi="Times New Roman" w:cs="Times New Roman"/>
          <w:sz w:val="24"/>
          <w:szCs w:val="24"/>
        </w:rPr>
      </w:pPr>
      <w:r w:rsidRPr="001D01D4">
        <w:rPr>
          <w:rFonts w:ascii="Times New Roman" w:hAnsi="Times New Roman" w:cs="Times New Roman"/>
          <w:sz w:val="24"/>
          <w:szCs w:val="24"/>
        </w:rPr>
        <w:t xml:space="preserve"> According to the U.S Bureau of Labor and statistics, the </w:t>
      </w:r>
      <w:r w:rsidR="00B3734D" w:rsidRPr="001D01D4">
        <w:rPr>
          <w:rFonts w:ascii="Times New Roman" w:hAnsi="Times New Roman" w:cs="Times New Roman"/>
          <w:sz w:val="24"/>
          <w:szCs w:val="24"/>
        </w:rPr>
        <w:t xml:space="preserve">average wage </w:t>
      </w:r>
      <w:r w:rsidR="003405FC" w:rsidRPr="001D01D4">
        <w:rPr>
          <w:rFonts w:ascii="Times New Roman" w:hAnsi="Times New Roman" w:cs="Times New Roman"/>
          <w:sz w:val="24"/>
          <w:szCs w:val="24"/>
        </w:rPr>
        <w:t>for a retail salesperson in the U.S as at April 5</w:t>
      </w:r>
      <w:r w:rsidR="003405FC" w:rsidRPr="001D01D4">
        <w:rPr>
          <w:rFonts w:ascii="Times New Roman" w:hAnsi="Times New Roman" w:cs="Times New Roman"/>
          <w:sz w:val="24"/>
          <w:szCs w:val="24"/>
          <w:vertAlign w:val="superscript"/>
        </w:rPr>
        <w:t>th</w:t>
      </w:r>
      <w:r w:rsidR="003405FC" w:rsidRPr="001D01D4">
        <w:rPr>
          <w:rFonts w:ascii="Times New Roman" w:hAnsi="Times New Roman" w:cs="Times New Roman"/>
          <w:sz w:val="24"/>
          <w:szCs w:val="24"/>
        </w:rPr>
        <w:t>, 2019 was estimated to be $23257/year</w:t>
      </w:r>
      <w:r w:rsidRPr="001D01D4">
        <w:rPr>
          <w:rFonts w:ascii="Times New Roman" w:hAnsi="Times New Roman" w:cs="Times New Roman"/>
          <w:sz w:val="24"/>
          <w:szCs w:val="24"/>
        </w:rPr>
        <w:t xml:space="preserve"> an average of 411.23/hour</w:t>
      </w:r>
      <w:r w:rsidR="003405FC" w:rsidRPr="001D01D4">
        <w:rPr>
          <w:rFonts w:ascii="Times New Roman" w:hAnsi="Times New Roman" w:cs="Times New Roman"/>
          <w:sz w:val="24"/>
          <w:szCs w:val="24"/>
        </w:rPr>
        <w:t>. In Canada, t</w:t>
      </w:r>
      <w:r w:rsidRPr="001D01D4">
        <w:rPr>
          <w:rFonts w:ascii="Times New Roman" w:hAnsi="Times New Roman" w:cs="Times New Roman"/>
          <w:sz w:val="24"/>
          <w:szCs w:val="24"/>
        </w:rPr>
        <w:t>he sales persons takes $33, 500</w:t>
      </w:r>
      <w:r w:rsidR="00C61D58">
        <w:rPr>
          <w:rFonts w:ascii="Times New Roman" w:hAnsi="Times New Roman" w:cs="Times New Roman"/>
          <w:sz w:val="24"/>
          <w:szCs w:val="24"/>
        </w:rPr>
        <w:t xml:space="preserve"> (</w:t>
      </w:r>
      <w:proofErr w:type="spellStart"/>
      <w:r w:rsidR="00C61D58">
        <w:rPr>
          <w:rFonts w:ascii="Arial" w:hAnsi="Arial" w:cs="Arial"/>
          <w:color w:val="222222"/>
          <w:sz w:val="20"/>
          <w:szCs w:val="20"/>
          <w:shd w:val="clear" w:color="auto" w:fill="FFFFFF"/>
        </w:rPr>
        <w:t>Coviello</w:t>
      </w:r>
      <w:proofErr w:type="spellEnd"/>
      <w:r w:rsidR="00C61D58">
        <w:rPr>
          <w:rFonts w:ascii="Arial" w:hAnsi="Arial" w:cs="Arial"/>
          <w:color w:val="222222"/>
          <w:sz w:val="20"/>
          <w:szCs w:val="20"/>
          <w:shd w:val="clear" w:color="auto" w:fill="FFFFFF"/>
        </w:rPr>
        <w:t xml:space="preserve">, </w:t>
      </w:r>
      <w:proofErr w:type="spellStart"/>
      <w:r w:rsidR="00C61D58">
        <w:rPr>
          <w:rFonts w:ascii="Arial" w:hAnsi="Arial" w:cs="Arial"/>
          <w:color w:val="222222"/>
          <w:sz w:val="20"/>
          <w:szCs w:val="20"/>
          <w:shd w:val="clear" w:color="auto" w:fill="FFFFFF"/>
        </w:rPr>
        <w:t>Deserranno</w:t>
      </w:r>
      <w:proofErr w:type="spellEnd"/>
      <w:r w:rsidR="00C61D58">
        <w:rPr>
          <w:rFonts w:ascii="Arial" w:hAnsi="Arial" w:cs="Arial"/>
          <w:color w:val="222222"/>
          <w:sz w:val="20"/>
          <w:szCs w:val="20"/>
          <w:shd w:val="clear" w:color="auto" w:fill="FFFFFF"/>
        </w:rPr>
        <w:t xml:space="preserve">, &amp; </w:t>
      </w:r>
      <w:proofErr w:type="spellStart"/>
      <w:r w:rsidR="00C61D58">
        <w:rPr>
          <w:rFonts w:ascii="Arial" w:hAnsi="Arial" w:cs="Arial"/>
          <w:color w:val="222222"/>
          <w:sz w:val="20"/>
          <w:szCs w:val="20"/>
          <w:shd w:val="clear" w:color="auto" w:fill="FFFFFF"/>
        </w:rPr>
        <w:t>Persico</w:t>
      </w:r>
      <w:proofErr w:type="spellEnd"/>
      <w:r w:rsidR="00C61D58">
        <w:rPr>
          <w:rFonts w:ascii="Arial" w:hAnsi="Arial" w:cs="Arial"/>
          <w:color w:val="222222"/>
          <w:sz w:val="20"/>
          <w:szCs w:val="20"/>
          <w:shd w:val="clear" w:color="auto" w:fill="FFFFFF"/>
        </w:rPr>
        <w:t xml:space="preserve">, </w:t>
      </w:r>
      <w:r w:rsidR="00C61D58">
        <w:rPr>
          <w:rFonts w:ascii="Arial" w:hAnsi="Arial" w:cs="Arial"/>
          <w:color w:val="222222"/>
          <w:sz w:val="20"/>
          <w:szCs w:val="20"/>
          <w:shd w:val="clear" w:color="auto" w:fill="FFFFFF"/>
        </w:rPr>
        <w:t>2019).</w:t>
      </w:r>
    </w:p>
    <w:p w:rsidR="00DA108B" w:rsidRPr="00AC6046" w:rsidRDefault="00DA108B" w:rsidP="00AC6046">
      <w:pPr>
        <w:pStyle w:val="ListParagraph"/>
        <w:numPr>
          <w:ilvl w:val="0"/>
          <w:numId w:val="2"/>
        </w:numPr>
        <w:spacing w:before="100" w:beforeAutospacing="1" w:after="100" w:afterAutospacing="1" w:line="480" w:lineRule="auto"/>
        <w:rPr>
          <w:rFonts w:ascii="Times New Roman" w:hAnsi="Times New Roman" w:cs="Times New Roman"/>
          <w:sz w:val="24"/>
          <w:szCs w:val="24"/>
        </w:rPr>
      </w:pPr>
      <w:r w:rsidRPr="00AC6046">
        <w:rPr>
          <w:rFonts w:ascii="Times New Roman" w:hAnsi="Times New Roman" w:cs="Times New Roman"/>
          <w:sz w:val="24"/>
          <w:szCs w:val="24"/>
        </w:rPr>
        <w:t>Average pay for a sales person Canada, 2019</w:t>
      </w:r>
    </w:p>
    <w:p w:rsidR="003405FC" w:rsidRDefault="003405FC" w:rsidP="006523C3">
      <w:pPr>
        <w:spacing w:before="100" w:beforeAutospacing="1" w:after="100" w:afterAutospacing="1" w:line="480" w:lineRule="auto"/>
        <w:rPr>
          <w:rFonts w:ascii="Times New Roman" w:hAnsi="Times New Roman" w:cs="Times New Roman"/>
          <w:sz w:val="24"/>
          <w:szCs w:val="24"/>
        </w:rPr>
      </w:pPr>
      <w:r w:rsidRPr="001D01D4">
        <w:rPr>
          <w:rFonts w:ascii="Times New Roman" w:hAnsi="Times New Roman" w:cs="Times New Roman"/>
          <w:noProof/>
          <w:sz w:val="24"/>
          <w:szCs w:val="24"/>
        </w:rPr>
        <w:drawing>
          <wp:inline distT="0" distB="0" distL="0" distR="0" wp14:anchorId="7FE9F12C" wp14:editId="0B38E5F8">
            <wp:extent cx="3886200" cy="13049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886200" cy="1304925"/>
                    </a:xfrm>
                    <a:prstGeom prst="rect">
                      <a:avLst/>
                    </a:prstGeom>
                  </pic:spPr>
                </pic:pic>
              </a:graphicData>
            </a:graphic>
          </wp:inline>
        </w:drawing>
      </w:r>
    </w:p>
    <w:p w:rsidR="0016399D" w:rsidRDefault="0016399D" w:rsidP="006523C3">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 retail sales person in Canada makes an average of $33,000 annually.</w:t>
      </w:r>
      <w:r w:rsidR="00AC6046">
        <w:rPr>
          <w:rFonts w:ascii="Times New Roman" w:hAnsi="Times New Roman" w:cs="Times New Roman"/>
          <w:sz w:val="24"/>
          <w:szCs w:val="24"/>
        </w:rPr>
        <w:t xml:space="preserve"> </w:t>
      </w:r>
    </w:p>
    <w:p w:rsidR="00D7268B" w:rsidRDefault="00D33AED" w:rsidP="006523C3">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Although working situations differ with economies, the main reasons why people leave their jobs are identical. </w:t>
      </w:r>
      <w:r w:rsidR="0048446A">
        <w:rPr>
          <w:rFonts w:ascii="Times New Roman" w:hAnsi="Times New Roman" w:cs="Times New Roman"/>
          <w:sz w:val="24"/>
          <w:szCs w:val="24"/>
        </w:rPr>
        <w:t xml:space="preserve">Better opportunities for employees to use and their abilities and expertise is a core reason why majority of the people leave their jobs. Research has shown that career development, </w:t>
      </w:r>
      <w:r w:rsidR="0048446A">
        <w:rPr>
          <w:rFonts w:ascii="Times New Roman" w:hAnsi="Times New Roman" w:cs="Times New Roman"/>
          <w:sz w:val="24"/>
          <w:szCs w:val="24"/>
        </w:rPr>
        <w:lastRenderedPageBreak/>
        <w:t>bad organizational management, dad pay, lack of motivation at work, going back to school. To mitigate the employees’ turnover, employers should ensure that their pay is equitable and competitive externally. In addition, ineffective</w:t>
      </w:r>
      <w:r w:rsidR="00D7268B">
        <w:rPr>
          <w:rFonts w:ascii="Times New Roman" w:hAnsi="Times New Roman" w:cs="Times New Roman"/>
          <w:sz w:val="24"/>
          <w:szCs w:val="24"/>
        </w:rPr>
        <w:t xml:space="preserve"> communication and relationship issues attribute to a good percentage of job hops.</w:t>
      </w:r>
    </w:p>
    <w:p w:rsidR="00A44A2A" w:rsidRDefault="00A44A2A" w:rsidP="00A44A2A">
      <w:pPr>
        <w:spacing w:before="100" w:beforeAutospacing="1" w:after="100" w:afterAutospacing="1" w:line="480" w:lineRule="auto"/>
        <w:ind w:left="720" w:hanging="720"/>
        <w:rPr>
          <w:rFonts w:ascii="Times New Roman" w:hAnsi="Times New Roman" w:cs="Times New Roman"/>
          <w:sz w:val="24"/>
          <w:szCs w:val="24"/>
        </w:rPr>
      </w:pPr>
    </w:p>
    <w:p w:rsidR="00A44A2A" w:rsidRDefault="00A44A2A" w:rsidP="00A44A2A">
      <w:pPr>
        <w:spacing w:before="100" w:beforeAutospacing="1" w:after="100" w:afterAutospacing="1" w:line="480" w:lineRule="auto"/>
        <w:ind w:left="720" w:hanging="720"/>
        <w:rPr>
          <w:rFonts w:ascii="Times New Roman" w:hAnsi="Times New Roman" w:cs="Times New Roman"/>
          <w:sz w:val="24"/>
          <w:szCs w:val="24"/>
        </w:rPr>
      </w:pPr>
    </w:p>
    <w:p w:rsidR="00A44A2A" w:rsidRDefault="00A44A2A" w:rsidP="00A44A2A">
      <w:pPr>
        <w:spacing w:before="100" w:beforeAutospacing="1" w:after="100" w:afterAutospacing="1" w:line="480" w:lineRule="auto"/>
        <w:ind w:left="720" w:hanging="720"/>
        <w:rPr>
          <w:rFonts w:ascii="Times New Roman" w:hAnsi="Times New Roman" w:cs="Times New Roman"/>
          <w:sz w:val="24"/>
          <w:szCs w:val="24"/>
        </w:rPr>
      </w:pPr>
    </w:p>
    <w:p w:rsidR="00A44A2A" w:rsidRDefault="00A44A2A" w:rsidP="00A44A2A">
      <w:pPr>
        <w:spacing w:before="100" w:beforeAutospacing="1" w:after="100" w:afterAutospacing="1" w:line="480" w:lineRule="auto"/>
        <w:ind w:left="720" w:hanging="720"/>
        <w:rPr>
          <w:rFonts w:ascii="Times New Roman" w:hAnsi="Times New Roman" w:cs="Times New Roman"/>
          <w:sz w:val="24"/>
          <w:szCs w:val="24"/>
        </w:rPr>
      </w:pPr>
    </w:p>
    <w:p w:rsidR="00A44A2A" w:rsidRDefault="00A44A2A" w:rsidP="00A44A2A">
      <w:pPr>
        <w:spacing w:before="100" w:beforeAutospacing="1" w:after="100" w:afterAutospacing="1" w:line="480" w:lineRule="auto"/>
        <w:ind w:left="720" w:hanging="720"/>
        <w:rPr>
          <w:rFonts w:ascii="Times New Roman" w:hAnsi="Times New Roman" w:cs="Times New Roman"/>
          <w:sz w:val="24"/>
          <w:szCs w:val="24"/>
        </w:rPr>
      </w:pPr>
    </w:p>
    <w:p w:rsidR="00A44A2A" w:rsidRDefault="00A44A2A" w:rsidP="00A44A2A">
      <w:pPr>
        <w:spacing w:before="100" w:beforeAutospacing="1" w:after="100" w:afterAutospacing="1" w:line="480" w:lineRule="auto"/>
        <w:ind w:left="720" w:hanging="720"/>
        <w:rPr>
          <w:rFonts w:ascii="Times New Roman" w:hAnsi="Times New Roman" w:cs="Times New Roman"/>
          <w:sz w:val="24"/>
          <w:szCs w:val="24"/>
        </w:rPr>
      </w:pPr>
    </w:p>
    <w:p w:rsidR="00A44A2A" w:rsidRDefault="00A44A2A" w:rsidP="00A44A2A">
      <w:pPr>
        <w:spacing w:before="100" w:beforeAutospacing="1" w:after="100" w:afterAutospacing="1" w:line="480" w:lineRule="auto"/>
        <w:ind w:left="720" w:hanging="720"/>
        <w:rPr>
          <w:rFonts w:ascii="Times New Roman" w:hAnsi="Times New Roman" w:cs="Times New Roman"/>
          <w:sz w:val="24"/>
          <w:szCs w:val="24"/>
        </w:rPr>
      </w:pPr>
    </w:p>
    <w:p w:rsidR="00A44A2A" w:rsidRDefault="00A44A2A" w:rsidP="00A44A2A">
      <w:pPr>
        <w:spacing w:before="100" w:beforeAutospacing="1" w:after="100" w:afterAutospacing="1" w:line="480" w:lineRule="auto"/>
        <w:ind w:left="720" w:hanging="720"/>
        <w:rPr>
          <w:rFonts w:ascii="Times New Roman" w:hAnsi="Times New Roman" w:cs="Times New Roman"/>
          <w:sz w:val="24"/>
          <w:szCs w:val="24"/>
        </w:rPr>
      </w:pPr>
    </w:p>
    <w:p w:rsidR="00A44A2A" w:rsidRDefault="00A44A2A" w:rsidP="00A44A2A">
      <w:pPr>
        <w:spacing w:before="100" w:beforeAutospacing="1" w:after="100" w:afterAutospacing="1" w:line="480" w:lineRule="auto"/>
        <w:ind w:left="720" w:hanging="720"/>
        <w:rPr>
          <w:rFonts w:ascii="Times New Roman" w:hAnsi="Times New Roman" w:cs="Times New Roman"/>
          <w:sz w:val="24"/>
          <w:szCs w:val="24"/>
        </w:rPr>
      </w:pPr>
    </w:p>
    <w:p w:rsidR="00A44A2A" w:rsidRDefault="00A44A2A" w:rsidP="00A44A2A">
      <w:pPr>
        <w:spacing w:before="100" w:beforeAutospacing="1" w:after="100" w:afterAutospacing="1" w:line="480" w:lineRule="auto"/>
        <w:ind w:left="720" w:hanging="720"/>
        <w:rPr>
          <w:rFonts w:ascii="Times New Roman" w:hAnsi="Times New Roman" w:cs="Times New Roman"/>
          <w:sz w:val="24"/>
          <w:szCs w:val="24"/>
        </w:rPr>
      </w:pPr>
    </w:p>
    <w:p w:rsidR="00A44A2A" w:rsidRDefault="00A44A2A" w:rsidP="00A44A2A">
      <w:pPr>
        <w:spacing w:before="100" w:beforeAutospacing="1" w:after="100" w:afterAutospacing="1" w:line="480" w:lineRule="auto"/>
        <w:ind w:left="720" w:hanging="720"/>
        <w:rPr>
          <w:rFonts w:ascii="Times New Roman" w:hAnsi="Times New Roman" w:cs="Times New Roman"/>
          <w:sz w:val="24"/>
          <w:szCs w:val="24"/>
        </w:rPr>
      </w:pPr>
    </w:p>
    <w:p w:rsidR="00A44A2A" w:rsidRDefault="00A44A2A" w:rsidP="00A44A2A">
      <w:pPr>
        <w:spacing w:before="100" w:beforeAutospacing="1" w:after="100" w:afterAutospacing="1" w:line="480" w:lineRule="auto"/>
        <w:ind w:left="720" w:hanging="720"/>
        <w:rPr>
          <w:rFonts w:ascii="Times New Roman" w:hAnsi="Times New Roman" w:cs="Times New Roman"/>
          <w:sz w:val="24"/>
          <w:szCs w:val="24"/>
        </w:rPr>
      </w:pPr>
    </w:p>
    <w:p w:rsidR="00A44A2A" w:rsidRDefault="00A44A2A" w:rsidP="00A44A2A">
      <w:pPr>
        <w:spacing w:before="100" w:beforeAutospacing="1" w:after="100" w:afterAutospacing="1" w:line="480" w:lineRule="auto"/>
        <w:ind w:left="720" w:hanging="720"/>
        <w:rPr>
          <w:rFonts w:ascii="Times New Roman" w:hAnsi="Times New Roman" w:cs="Times New Roman"/>
          <w:sz w:val="24"/>
          <w:szCs w:val="24"/>
        </w:rPr>
      </w:pPr>
    </w:p>
    <w:p w:rsidR="00D7268B" w:rsidRPr="00A44A2A" w:rsidRDefault="00D7268B" w:rsidP="00A44A2A">
      <w:pPr>
        <w:spacing w:before="100" w:beforeAutospacing="1" w:after="100" w:afterAutospacing="1" w:line="480" w:lineRule="auto"/>
        <w:ind w:left="720" w:hanging="720"/>
        <w:jc w:val="center"/>
        <w:rPr>
          <w:rFonts w:ascii="Times New Roman" w:hAnsi="Times New Roman" w:cs="Times New Roman"/>
          <w:sz w:val="24"/>
          <w:szCs w:val="24"/>
        </w:rPr>
      </w:pPr>
      <w:r w:rsidRPr="00A44A2A">
        <w:rPr>
          <w:rFonts w:ascii="Times New Roman" w:hAnsi="Times New Roman" w:cs="Times New Roman"/>
          <w:sz w:val="24"/>
          <w:szCs w:val="24"/>
        </w:rPr>
        <w:lastRenderedPageBreak/>
        <w:t>References</w:t>
      </w:r>
    </w:p>
    <w:p w:rsidR="00AC6046" w:rsidRPr="00A44A2A" w:rsidRDefault="00C61D58" w:rsidP="00A44A2A">
      <w:pPr>
        <w:spacing w:before="100" w:beforeAutospacing="1" w:after="100" w:afterAutospacing="1" w:line="480" w:lineRule="auto"/>
        <w:ind w:left="720" w:hanging="720"/>
        <w:rPr>
          <w:rFonts w:ascii="Times New Roman" w:hAnsi="Times New Roman" w:cs="Times New Roman"/>
          <w:sz w:val="24"/>
          <w:szCs w:val="24"/>
        </w:rPr>
      </w:pPr>
      <w:proofErr w:type="spellStart"/>
      <w:r w:rsidRPr="00A44A2A">
        <w:rPr>
          <w:rFonts w:ascii="Times New Roman" w:hAnsi="Times New Roman" w:cs="Times New Roman"/>
          <w:color w:val="222222"/>
          <w:sz w:val="24"/>
          <w:szCs w:val="24"/>
          <w:shd w:val="clear" w:color="auto" w:fill="FFFFFF"/>
        </w:rPr>
        <w:t>Coviello</w:t>
      </w:r>
      <w:proofErr w:type="spellEnd"/>
      <w:r w:rsidRPr="00A44A2A">
        <w:rPr>
          <w:rFonts w:ascii="Times New Roman" w:hAnsi="Times New Roman" w:cs="Times New Roman"/>
          <w:color w:val="222222"/>
          <w:sz w:val="24"/>
          <w:szCs w:val="24"/>
          <w:shd w:val="clear" w:color="auto" w:fill="FFFFFF"/>
        </w:rPr>
        <w:t xml:space="preserve">, D., </w:t>
      </w:r>
      <w:proofErr w:type="spellStart"/>
      <w:r w:rsidRPr="00A44A2A">
        <w:rPr>
          <w:rFonts w:ascii="Times New Roman" w:hAnsi="Times New Roman" w:cs="Times New Roman"/>
          <w:color w:val="222222"/>
          <w:sz w:val="24"/>
          <w:szCs w:val="24"/>
          <w:shd w:val="clear" w:color="auto" w:fill="FFFFFF"/>
        </w:rPr>
        <w:t>Deserranno</w:t>
      </w:r>
      <w:proofErr w:type="spellEnd"/>
      <w:r w:rsidRPr="00A44A2A">
        <w:rPr>
          <w:rFonts w:ascii="Times New Roman" w:hAnsi="Times New Roman" w:cs="Times New Roman"/>
          <w:color w:val="222222"/>
          <w:sz w:val="24"/>
          <w:szCs w:val="24"/>
          <w:shd w:val="clear" w:color="auto" w:fill="FFFFFF"/>
        </w:rPr>
        <w:t xml:space="preserve">, E., &amp; </w:t>
      </w:r>
      <w:proofErr w:type="spellStart"/>
      <w:r w:rsidRPr="00A44A2A">
        <w:rPr>
          <w:rFonts w:ascii="Times New Roman" w:hAnsi="Times New Roman" w:cs="Times New Roman"/>
          <w:color w:val="222222"/>
          <w:sz w:val="24"/>
          <w:szCs w:val="24"/>
          <w:shd w:val="clear" w:color="auto" w:fill="FFFFFF"/>
        </w:rPr>
        <w:t>Persico</w:t>
      </w:r>
      <w:proofErr w:type="spellEnd"/>
      <w:r w:rsidRPr="00A44A2A">
        <w:rPr>
          <w:rFonts w:ascii="Times New Roman" w:hAnsi="Times New Roman" w:cs="Times New Roman"/>
          <w:color w:val="222222"/>
          <w:sz w:val="24"/>
          <w:szCs w:val="24"/>
          <w:shd w:val="clear" w:color="auto" w:fill="FFFFFF"/>
        </w:rPr>
        <w:t>, N. (2019). Minimum Wage and Individual Worker Productivity: Evidence from a Large US Retailer.</w:t>
      </w:r>
      <w:r w:rsidR="00D7268B" w:rsidRPr="00A44A2A">
        <w:rPr>
          <w:rFonts w:ascii="Times New Roman" w:hAnsi="Times New Roman" w:cs="Times New Roman"/>
          <w:sz w:val="24"/>
          <w:szCs w:val="24"/>
        </w:rPr>
        <w:t xml:space="preserve"> </w:t>
      </w:r>
    </w:p>
    <w:p w:rsidR="00C61D58" w:rsidRPr="00A44A2A" w:rsidRDefault="002043BB" w:rsidP="00A44A2A">
      <w:pPr>
        <w:spacing w:before="100" w:beforeAutospacing="1" w:after="100" w:afterAutospacing="1" w:line="480" w:lineRule="auto"/>
        <w:ind w:left="720" w:hanging="720"/>
        <w:rPr>
          <w:rFonts w:ascii="Times New Roman" w:hAnsi="Times New Roman" w:cs="Times New Roman"/>
          <w:sz w:val="24"/>
          <w:szCs w:val="24"/>
        </w:rPr>
      </w:pPr>
      <w:hyperlink r:id="rId15" w:history="1">
        <w:r w:rsidRPr="00A44A2A">
          <w:rPr>
            <w:rStyle w:val="Hyperlink"/>
            <w:rFonts w:ascii="Times New Roman" w:hAnsi="Times New Roman" w:cs="Times New Roman"/>
            <w:sz w:val="24"/>
            <w:szCs w:val="24"/>
          </w:rPr>
          <w:t>https://www.usa.gov/statistics</w:t>
        </w:r>
      </w:hyperlink>
    </w:p>
    <w:p w:rsidR="00006A01" w:rsidRPr="00A44A2A" w:rsidRDefault="00006A01" w:rsidP="00A44A2A">
      <w:pPr>
        <w:spacing w:before="100" w:beforeAutospacing="1" w:after="100" w:afterAutospacing="1" w:line="480" w:lineRule="auto"/>
        <w:ind w:left="720" w:hanging="720"/>
        <w:rPr>
          <w:rFonts w:ascii="Times New Roman" w:hAnsi="Times New Roman" w:cs="Times New Roman"/>
          <w:sz w:val="24"/>
          <w:szCs w:val="24"/>
        </w:rPr>
      </w:pPr>
      <w:hyperlink r:id="rId16" w:history="1">
        <w:r w:rsidRPr="00A44A2A">
          <w:rPr>
            <w:rStyle w:val="Hyperlink"/>
            <w:rFonts w:ascii="Times New Roman" w:hAnsi="Times New Roman" w:cs="Times New Roman"/>
            <w:sz w:val="24"/>
            <w:szCs w:val="24"/>
          </w:rPr>
          <w:t>https://www.australia.gov.au/about-australia/facts-and-figures/statistics</w:t>
        </w:r>
      </w:hyperlink>
    </w:p>
    <w:p w:rsidR="00006A01" w:rsidRPr="00A44A2A" w:rsidRDefault="00006A01" w:rsidP="00A44A2A">
      <w:pPr>
        <w:spacing w:before="100" w:beforeAutospacing="1" w:after="100" w:afterAutospacing="1" w:line="480" w:lineRule="auto"/>
        <w:ind w:left="720" w:hanging="720"/>
        <w:rPr>
          <w:rFonts w:ascii="Times New Roman" w:hAnsi="Times New Roman" w:cs="Times New Roman"/>
          <w:sz w:val="24"/>
          <w:szCs w:val="24"/>
        </w:rPr>
      </w:pPr>
      <w:hyperlink r:id="rId17" w:history="1">
        <w:r w:rsidRPr="00A44A2A">
          <w:rPr>
            <w:rStyle w:val="Hyperlink"/>
            <w:rFonts w:ascii="Times New Roman" w:hAnsi="Times New Roman" w:cs="Times New Roman"/>
            <w:sz w:val="24"/>
            <w:szCs w:val="24"/>
          </w:rPr>
          <w:t>http://www.stats.gov.cn/english/statisticaldata/annualdata/</w:t>
        </w:r>
      </w:hyperlink>
    </w:p>
    <w:sectPr w:rsidR="00006A01" w:rsidRPr="00A44A2A" w:rsidSect="00A44A2A">
      <w:headerReference w:type="default" r:id="rId18"/>
      <w:headerReference w:type="first" r:id="rId1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2FED" w:rsidRDefault="00192FED" w:rsidP="00006A01">
      <w:pPr>
        <w:spacing w:after="0" w:line="240" w:lineRule="auto"/>
      </w:pPr>
      <w:r>
        <w:separator/>
      </w:r>
    </w:p>
  </w:endnote>
  <w:endnote w:type="continuationSeparator" w:id="0">
    <w:p w:rsidR="00192FED" w:rsidRDefault="00192FED" w:rsidP="00006A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2FED" w:rsidRDefault="00192FED" w:rsidP="00006A01">
      <w:pPr>
        <w:spacing w:after="0" w:line="240" w:lineRule="auto"/>
      </w:pPr>
      <w:r>
        <w:separator/>
      </w:r>
    </w:p>
  </w:footnote>
  <w:footnote w:type="continuationSeparator" w:id="0">
    <w:p w:rsidR="00192FED" w:rsidRDefault="00192FED" w:rsidP="00006A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143500026"/>
      <w:docPartObj>
        <w:docPartGallery w:val="Page Numbers (Top of Page)"/>
        <w:docPartUnique/>
      </w:docPartObj>
    </w:sdtPr>
    <w:sdtEndPr>
      <w:rPr>
        <w:noProof/>
      </w:rPr>
    </w:sdtEndPr>
    <w:sdtContent>
      <w:p w:rsidR="00006A01" w:rsidRPr="00A44A2A" w:rsidRDefault="00A44A2A" w:rsidP="00A44A2A">
        <w:pPr>
          <w:spacing w:before="100" w:beforeAutospacing="1" w:after="100" w:afterAutospacing="1" w:line="480" w:lineRule="auto"/>
          <w:rPr>
            <w:rFonts w:ascii="Times New Roman" w:hAnsi="Times New Roman" w:cs="Times New Roman"/>
            <w:sz w:val="24"/>
            <w:szCs w:val="24"/>
          </w:rPr>
        </w:pPr>
        <w:r w:rsidRPr="00A44A2A">
          <w:rPr>
            <w:rFonts w:ascii="Times New Roman" w:hAnsi="Times New Roman" w:cs="Times New Roman"/>
            <w:sz w:val="24"/>
            <w:szCs w:val="24"/>
          </w:rPr>
          <w:t>GLOBAL RETAIL TURNOVER</w:t>
        </w:r>
        <w:r w:rsidRPr="00A44A2A">
          <w:rPr>
            <w:rFonts w:ascii="Times New Roman" w:hAnsi="Times New Roman" w:cs="Times New Roman"/>
            <w:sz w:val="24"/>
            <w:szCs w:val="24"/>
          </w:rPr>
          <w:tab/>
        </w:r>
        <w:r w:rsidRPr="00A44A2A">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44A2A">
          <w:rPr>
            <w:rFonts w:ascii="Times New Roman" w:hAnsi="Times New Roman" w:cs="Times New Roman"/>
            <w:sz w:val="24"/>
            <w:szCs w:val="24"/>
          </w:rPr>
          <w:tab/>
        </w:r>
        <w:r w:rsidRPr="00A44A2A">
          <w:rPr>
            <w:rFonts w:ascii="Times New Roman" w:hAnsi="Times New Roman" w:cs="Times New Roman"/>
            <w:sz w:val="24"/>
            <w:szCs w:val="24"/>
          </w:rPr>
          <w:tab/>
        </w:r>
        <w:r w:rsidRPr="00A44A2A">
          <w:rPr>
            <w:rFonts w:ascii="Times New Roman" w:hAnsi="Times New Roman" w:cs="Times New Roman"/>
            <w:sz w:val="24"/>
            <w:szCs w:val="24"/>
          </w:rPr>
          <w:tab/>
        </w:r>
        <w:r w:rsidRPr="00A44A2A">
          <w:rPr>
            <w:rFonts w:ascii="Times New Roman" w:hAnsi="Times New Roman" w:cs="Times New Roman"/>
            <w:sz w:val="24"/>
            <w:szCs w:val="24"/>
          </w:rPr>
          <w:tab/>
        </w:r>
        <w:r w:rsidRPr="00A44A2A">
          <w:rPr>
            <w:rFonts w:ascii="Times New Roman" w:hAnsi="Times New Roman" w:cs="Times New Roman"/>
            <w:sz w:val="24"/>
            <w:szCs w:val="24"/>
          </w:rPr>
          <w:fldChar w:fldCharType="begin"/>
        </w:r>
        <w:r w:rsidRPr="00A44A2A">
          <w:rPr>
            <w:rFonts w:ascii="Times New Roman" w:hAnsi="Times New Roman" w:cs="Times New Roman"/>
            <w:sz w:val="24"/>
            <w:szCs w:val="24"/>
          </w:rPr>
          <w:instrText xml:space="preserve"> PAGE   \* MERGEFORMAT </w:instrText>
        </w:r>
        <w:r w:rsidRPr="00A44A2A">
          <w:rPr>
            <w:rFonts w:ascii="Times New Roman" w:hAnsi="Times New Roman" w:cs="Times New Roman"/>
            <w:sz w:val="24"/>
            <w:szCs w:val="24"/>
          </w:rPr>
          <w:fldChar w:fldCharType="separate"/>
        </w:r>
        <w:r w:rsidR="008A56E1">
          <w:rPr>
            <w:rFonts w:ascii="Times New Roman" w:hAnsi="Times New Roman" w:cs="Times New Roman"/>
            <w:noProof/>
            <w:sz w:val="24"/>
            <w:szCs w:val="24"/>
          </w:rPr>
          <w:t>7</w:t>
        </w:r>
        <w:r w:rsidRPr="00A44A2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71437730"/>
      <w:docPartObj>
        <w:docPartGallery w:val="Page Numbers (Top of Page)"/>
        <w:docPartUnique/>
      </w:docPartObj>
    </w:sdtPr>
    <w:sdtEndPr>
      <w:rPr>
        <w:noProof/>
      </w:rPr>
    </w:sdtEndPr>
    <w:sdtContent>
      <w:p w:rsidR="00A44A2A" w:rsidRPr="00A44A2A" w:rsidRDefault="00A44A2A" w:rsidP="00A44A2A">
        <w:pPr>
          <w:spacing w:before="100" w:beforeAutospacing="1" w:after="100" w:afterAutospacing="1" w:line="480" w:lineRule="auto"/>
          <w:jc w:val="center"/>
          <w:rPr>
            <w:rFonts w:ascii="Times New Roman" w:hAnsi="Times New Roman" w:cs="Times New Roman"/>
            <w:sz w:val="24"/>
            <w:szCs w:val="24"/>
          </w:rPr>
        </w:pPr>
        <w:r w:rsidRPr="00A44A2A">
          <w:rPr>
            <w:rFonts w:ascii="Times New Roman" w:hAnsi="Times New Roman" w:cs="Times New Roman"/>
            <w:sz w:val="24"/>
            <w:szCs w:val="24"/>
          </w:rPr>
          <w:t>Running Head: GLOBAL RETAIL TURNOVER</w:t>
        </w:r>
        <w:r w:rsidRPr="00A44A2A">
          <w:rPr>
            <w:rFonts w:ascii="Times New Roman" w:hAnsi="Times New Roman" w:cs="Times New Roman"/>
            <w:sz w:val="24"/>
            <w:szCs w:val="24"/>
          </w:rPr>
          <w:tab/>
        </w:r>
        <w:r w:rsidRPr="00A44A2A">
          <w:rPr>
            <w:rFonts w:ascii="Times New Roman" w:hAnsi="Times New Roman" w:cs="Times New Roman"/>
            <w:sz w:val="24"/>
            <w:szCs w:val="24"/>
          </w:rPr>
          <w:tab/>
        </w:r>
        <w:r w:rsidRPr="00A44A2A">
          <w:rPr>
            <w:rFonts w:ascii="Times New Roman" w:hAnsi="Times New Roman" w:cs="Times New Roman"/>
            <w:sz w:val="24"/>
            <w:szCs w:val="24"/>
          </w:rPr>
          <w:tab/>
        </w:r>
        <w:r w:rsidRPr="00A44A2A">
          <w:rPr>
            <w:rFonts w:ascii="Times New Roman" w:hAnsi="Times New Roman" w:cs="Times New Roman"/>
            <w:sz w:val="24"/>
            <w:szCs w:val="24"/>
          </w:rPr>
          <w:tab/>
        </w:r>
        <w:r w:rsidRPr="00A44A2A">
          <w:rPr>
            <w:rFonts w:ascii="Times New Roman" w:hAnsi="Times New Roman" w:cs="Times New Roman"/>
            <w:sz w:val="24"/>
            <w:szCs w:val="24"/>
          </w:rPr>
          <w:tab/>
        </w:r>
        <w:r w:rsidRPr="00A44A2A">
          <w:rPr>
            <w:rFonts w:ascii="Times New Roman" w:hAnsi="Times New Roman" w:cs="Times New Roman"/>
            <w:sz w:val="24"/>
            <w:szCs w:val="24"/>
          </w:rPr>
          <w:tab/>
        </w:r>
        <w:r w:rsidRPr="00A44A2A">
          <w:rPr>
            <w:rFonts w:ascii="Times New Roman" w:hAnsi="Times New Roman" w:cs="Times New Roman"/>
            <w:sz w:val="24"/>
            <w:szCs w:val="24"/>
          </w:rPr>
          <w:fldChar w:fldCharType="begin"/>
        </w:r>
        <w:r w:rsidRPr="00A44A2A">
          <w:rPr>
            <w:rFonts w:ascii="Times New Roman" w:hAnsi="Times New Roman" w:cs="Times New Roman"/>
            <w:sz w:val="24"/>
            <w:szCs w:val="24"/>
          </w:rPr>
          <w:instrText xml:space="preserve"> PAGE   \* MERGEFORMAT </w:instrText>
        </w:r>
        <w:r w:rsidRPr="00A44A2A">
          <w:rPr>
            <w:rFonts w:ascii="Times New Roman" w:hAnsi="Times New Roman" w:cs="Times New Roman"/>
            <w:sz w:val="24"/>
            <w:szCs w:val="24"/>
          </w:rPr>
          <w:fldChar w:fldCharType="separate"/>
        </w:r>
        <w:r>
          <w:rPr>
            <w:rFonts w:ascii="Times New Roman" w:hAnsi="Times New Roman" w:cs="Times New Roman"/>
            <w:noProof/>
            <w:sz w:val="24"/>
            <w:szCs w:val="24"/>
          </w:rPr>
          <w:t>1</w:t>
        </w:r>
        <w:r w:rsidRPr="00A44A2A">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CC5B75"/>
    <w:multiLevelType w:val="hybridMultilevel"/>
    <w:tmpl w:val="C4C09ABE"/>
    <w:lvl w:ilvl="0" w:tplc="E2F6BDF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42372EE"/>
    <w:multiLevelType w:val="hybridMultilevel"/>
    <w:tmpl w:val="F40C25EA"/>
    <w:lvl w:ilvl="0" w:tplc="A9EC4B2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615"/>
    <w:rsid w:val="0000653E"/>
    <w:rsid w:val="00006A01"/>
    <w:rsid w:val="00094100"/>
    <w:rsid w:val="00162BDF"/>
    <w:rsid w:val="0016399D"/>
    <w:rsid w:val="00192FED"/>
    <w:rsid w:val="001D01D4"/>
    <w:rsid w:val="002043BB"/>
    <w:rsid w:val="0025283A"/>
    <w:rsid w:val="003405FC"/>
    <w:rsid w:val="0048446A"/>
    <w:rsid w:val="005304BE"/>
    <w:rsid w:val="00551803"/>
    <w:rsid w:val="005E7C54"/>
    <w:rsid w:val="006523C3"/>
    <w:rsid w:val="00707983"/>
    <w:rsid w:val="00764D5A"/>
    <w:rsid w:val="008A56E1"/>
    <w:rsid w:val="00A44A2A"/>
    <w:rsid w:val="00AC6046"/>
    <w:rsid w:val="00B067BA"/>
    <w:rsid w:val="00B115DB"/>
    <w:rsid w:val="00B3734D"/>
    <w:rsid w:val="00B8586A"/>
    <w:rsid w:val="00BB3615"/>
    <w:rsid w:val="00C61D58"/>
    <w:rsid w:val="00C66F24"/>
    <w:rsid w:val="00CA56C4"/>
    <w:rsid w:val="00CE4410"/>
    <w:rsid w:val="00D33AED"/>
    <w:rsid w:val="00D7268B"/>
    <w:rsid w:val="00D93942"/>
    <w:rsid w:val="00DA1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3C94B6-FCBB-4EC2-A059-B3D754A23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D9394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93942"/>
    <w:rPr>
      <w:rFonts w:ascii="Times New Roman" w:eastAsia="Times New Roman" w:hAnsi="Times New Roman" w:cs="Times New Roman"/>
      <w:b/>
      <w:bCs/>
      <w:sz w:val="36"/>
      <w:szCs w:val="36"/>
    </w:rPr>
  </w:style>
  <w:style w:type="paragraph" w:styleId="ListParagraph">
    <w:name w:val="List Paragraph"/>
    <w:basedOn w:val="Normal"/>
    <w:uiPriority w:val="34"/>
    <w:qFormat/>
    <w:rsid w:val="00AC6046"/>
    <w:pPr>
      <w:ind w:left="720"/>
      <w:contextualSpacing/>
    </w:pPr>
  </w:style>
  <w:style w:type="character" w:styleId="Hyperlink">
    <w:name w:val="Hyperlink"/>
    <w:basedOn w:val="DefaultParagraphFont"/>
    <w:uiPriority w:val="99"/>
    <w:semiHidden/>
    <w:unhideWhenUsed/>
    <w:rsid w:val="002043BB"/>
    <w:rPr>
      <w:color w:val="0000FF"/>
      <w:u w:val="single"/>
    </w:rPr>
  </w:style>
  <w:style w:type="paragraph" w:styleId="Header">
    <w:name w:val="header"/>
    <w:basedOn w:val="Normal"/>
    <w:link w:val="HeaderChar"/>
    <w:uiPriority w:val="99"/>
    <w:unhideWhenUsed/>
    <w:rsid w:val="00006A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6A01"/>
  </w:style>
  <w:style w:type="paragraph" w:styleId="Footer">
    <w:name w:val="footer"/>
    <w:basedOn w:val="Normal"/>
    <w:link w:val="FooterChar"/>
    <w:uiPriority w:val="99"/>
    <w:unhideWhenUsed/>
    <w:rsid w:val="00006A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6A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1565213">
      <w:bodyDiv w:val="1"/>
      <w:marLeft w:val="0"/>
      <w:marRight w:val="0"/>
      <w:marTop w:val="0"/>
      <w:marBottom w:val="0"/>
      <w:divBdr>
        <w:top w:val="none" w:sz="0" w:space="0" w:color="auto"/>
        <w:left w:val="none" w:sz="0" w:space="0" w:color="auto"/>
        <w:bottom w:val="none" w:sz="0" w:space="0" w:color="auto"/>
        <w:right w:val="none" w:sz="0" w:space="0" w:color="auto"/>
      </w:divBdr>
    </w:div>
    <w:div w:id="1032269178">
      <w:bodyDiv w:val="1"/>
      <w:marLeft w:val="0"/>
      <w:marRight w:val="0"/>
      <w:marTop w:val="0"/>
      <w:marBottom w:val="0"/>
      <w:divBdr>
        <w:top w:val="none" w:sz="0" w:space="0" w:color="auto"/>
        <w:left w:val="none" w:sz="0" w:space="0" w:color="auto"/>
        <w:bottom w:val="none" w:sz="0" w:space="0" w:color="auto"/>
        <w:right w:val="none" w:sz="0" w:space="0" w:color="auto"/>
      </w:divBdr>
    </w:div>
    <w:div w:id="2127505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www.stats.gov.cn/english/statisticaldata/annualdata/" TargetMode="External"/><Relationship Id="rId2" Type="http://schemas.openxmlformats.org/officeDocument/2006/relationships/numbering" Target="numbering.xml"/><Relationship Id="rId16" Type="http://schemas.openxmlformats.org/officeDocument/2006/relationships/hyperlink" Target="https://www.australia.gov.au/about-australia/facts-and-figures/statistic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www.usa.gov/statistics" TargetMode="External"/><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F51039-2430-4985-AA84-901F8AE70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553</TotalTime>
  <Pages>7</Pages>
  <Words>748</Words>
  <Characters>4268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dc:creator>
  <cp:keywords/>
  <dc:description/>
  <cp:lastModifiedBy>ADMI</cp:lastModifiedBy>
  <cp:revision>13</cp:revision>
  <dcterms:created xsi:type="dcterms:W3CDTF">2019-04-12T11:50:00Z</dcterms:created>
  <dcterms:modified xsi:type="dcterms:W3CDTF">2019-04-12T21:03:00Z</dcterms:modified>
</cp:coreProperties>
</file>